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144A4F09" w:rsidR="005C2A4B" w:rsidRPr="00924855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465202">
        <w:rPr>
          <w:rFonts w:ascii="Arial" w:hAnsi="Arial" w:cs="Arial"/>
          <w:bCs/>
          <w:kern w:val="32"/>
          <w:sz w:val="22"/>
          <w:szCs w:val="40"/>
          <w:lang w:val="pl-PL" w:eastAsia="ja-JP"/>
        </w:rPr>
        <w:t>13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465202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września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4796434E" w14:textId="4C8E65B1" w:rsidR="00DF0D2E" w:rsidRDefault="00DF0D2E" w:rsidP="004B2582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</w:t>
      </w:r>
      <w:r w:rsidR="00465202">
        <w:rPr>
          <w:rFonts w:ascii="Arial" w:hAnsi="Arial" w:cs="Arial"/>
          <w:b/>
          <w:bCs/>
        </w:rPr>
        <w:t>pon</w:t>
      </w:r>
      <w:r>
        <w:rPr>
          <w:rFonts w:ascii="Arial" w:hAnsi="Arial" w:cs="Arial"/>
          <w:b/>
          <w:bCs/>
        </w:rPr>
        <w:t>a</w:t>
      </w:r>
      <w:proofErr w:type="spellEnd"/>
      <w:r w:rsidR="00465202">
        <w:rPr>
          <w:rFonts w:ascii="Arial" w:hAnsi="Arial" w:cs="Arial"/>
          <w:b/>
          <w:bCs/>
        </w:rPr>
        <w:t xml:space="preserve"> </w:t>
      </w:r>
      <w:r w:rsidR="00465202" w:rsidRPr="00465202">
        <w:rPr>
          <w:rFonts w:ascii="Arial" w:hAnsi="Arial" w:cs="Arial"/>
          <w:b/>
          <w:bCs/>
        </w:rPr>
        <w:t xml:space="preserve">Dunlop </w:t>
      </w:r>
      <w:proofErr w:type="spellStart"/>
      <w:r w:rsidR="00465202" w:rsidRPr="00465202">
        <w:rPr>
          <w:rFonts w:ascii="Arial" w:hAnsi="Arial" w:cs="Arial"/>
          <w:b/>
          <w:bCs/>
        </w:rPr>
        <w:t>Qualifier</w:t>
      </w:r>
      <w:proofErr w:type="spellEnd"/>
      <w:r w:rsidR="00465202" w:rsidRPr="00465202">
        <w:rPr>
          <w:rFonts w:ascii="Arial" w:hAnsi="Arial" w:cs="Arial"/>
          <w:b/>
          <w:bCs/>
        </w:rPr>
        <w:t xml:space="preserve"> CORE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teraz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5E3F44">
        <w:rPr>
          <w:rFonts w:ascii="Arial" w:hAnsi="Arial" w:cs="Arial"/>
          <w:b/>
          <w:bCs/>
        </w:rPr>
        <w:t>dostępna</w:t>
      </w:r>
      <w:proofErr w:type="spellEnd"/>
      <w:r w:rsidR="005E3F44">
        <w:rPr>
          <w:rFonts w:ascii="Arial" w:hAnsi="Arial" w:cs="Arial"/>
          <w:b/>
          <w:bCs/>
        </w:rPr>
        <w:t xml:space="preserve"> w </w:t>
      </w:r>
      <w:proofErr w:type="spellStart"/>
      <w:r>
        <w:rPr>
          <w:rFonts w:ascii="Arial" w:hAnsi="Arial" w:cs="Arial"/>
          <w:b/>
          <w:bCs/>
        </w:rPr>
        <w:t>większ</w:t>
      </w:r>
      <w:r w:rsidR="005E3F44">
        <w:rPr>
          <w:rFonts w:ascii="Arial" w:hAnsi="Arial" w:cs="Arial"/>
          <w:b/>
          <w:bCs/>
        </w:rPr>
        <w:t>ej</w:t>
      </w:r>
      <w:proofErr w:type="spellEnd"/>
      <w:r w:rsidR="005E3F44">
        <w:rPr>
          <w:rFonts w:ascii="Arial" w:hAnsi="Arial" w:cs="Arial"/>
          <w:b/>
          <w:bCs/>
        </w:rPr>
        <w:t xml:space="preserve"> </w:t>
      </w:r>
      <w:proofErr w:type="spellStart"/>
      <w:r w:rsidR="005E3F44">
        <w:rPr>
          <w:rFonts w:ascii="Arial" w:hAnsi="Arial" w:cs="Arial"/>
          <w:b/>
          <w:bCs/>
        </w:rPr>
        <w:t>gamie</w:t>
      </w:r>
      <w:proofErr w:type="spellEnd"/>
      <w:r w:rsidR="005E3F44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rozmiarów</w:t>
      </w:r>
      <w:proofErr w:type="spellEnd"/>
    </w:p>
    <w:p w14:paraId="35F4C07F" w14:textId="77777777" w:rsidR="00465202" w:rsidRDefault="00465202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</w:p>
    <w:p w14:paraId="4D4CC953" w14:textId="119C927A" w:rsidR="00465202" w:rsidRPr="00465202" w:rsidRDefault="00465202" w:rsidP="00465202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Gama </w:t>
      </w:r>
      <w:r w:rsidR="00DF0D2E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rozmiarów 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powiększ</w:t>
      </w:r>
      <w:r w:rsidR="00DF0D2E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yła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się </w:t>
      </w:r>
      <w:r w:rsidR="005E3F44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do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dw</w:t>
      </w:r>
      <w:r w:rsidR="005E3F44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óch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na przód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i </w:t>
      </w:r>
      <w:r w:rsidR="00F16A15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do 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pię</w:t>
      </w:r>
      <w:r w:rsidR="005E3F44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ciu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na tył</w:t>
      </w:r>
      <w:r w:rsidR="005E3F44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motocykla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15D46326" w14:textId="2C138B29" w:rsidR="00465202" w:rsidRPr="00465202" w:rsidRDefault="00465202" w:rsidP="00465202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 w:rsidR="00DF0D2E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Atrakcyjna cenowo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opona </w:t>
      </w:r>
      <w:proofErr w:type="spellStart"/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h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y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persportowa</w:t>
      </w:r>
      <w:proofErr w:type="spellEnd"/>
      <w:r w:rsidR="00F16A15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z 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najnowsz</w:t>
      </w:r>
      <w:r w:rsidR="00F16A15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ymi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technologi</w:t>
      </w:r>
      <w:r w:rsidR="00F16A15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ami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Dunlop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3EE94D0A" w14:textId="294674DE" w:rsidR="0034515F" w:rsidRDefault="00465202" w:rsidP="00465202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D</w:t>
      </w:r>
      <w:r w:rsidR="00DF0D2E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o</w:t>
      </w:r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motocykli sportowych, sportowo-turystycznych, roadsterów i modeli typu </w:t>
      </w:r>
      <w:proofErr w:type="spellStart"/>
      <w:r w:rsidRPr="00465202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naked</w:t>
      </w:r>
      <w:proofErr w:type="spellEnd"/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021FE3E1" w14:textId="77777777" w:rsidR="00C979B1" w:rsidRDefault="00C979B1" w:rsidP="00465202">
      <w:pPr>
        <w:spacing w:after="200" w:line="276" w:lineRule="auto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</w:p>
    <w:p w14:paraId="756F2D3B" w14:textId="3DF0AEF3" w:rsidR="00465202" w:rsidRDefault="00C979B1" w:rsidP="00465202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bookmarkStart w:id="0" w:name="_Hlk113949775"/>
      <w:r w:rsidRPr="00C979B1">
        <w:rPr>
          <w:rFonts w:ascii="Arial" w:eastAsia="Calibri" w:hAnsi="Arial" w:cs="Arial"/>
          <w:sz w:val="22"/>
          <w:szCs w:val="22"/>
          <w:lang w:val="pl-PL" w:eastAsia="en-US"/>
        </w:rPr>
        <w:t xml:space="preserve">Dunlop powiększył paletę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Qualifier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CORE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o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nowe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rozmiary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dzięki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czemu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może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być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stosowana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</w:t>
      </w:r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iększej</w:t>
      </w:r>
      <w:proofErr w:type="spellEnd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liczbie</w:t>
      </w:r>
      <w:proofErr w:type="spellEnd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segmentów</w:t>
      </w:r>
      <w:proofErr w:type="spellEnd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motocykli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sportowych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typu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naked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oferując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użytkowni</w:t>
      </w:r>
      <w:r w:rsidR="00FA6EA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</w:t>
      </w:r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om</w:t>
      </w:r>
      <w:proofErr w:type="spellEnd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technologię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h</w:t>
      </w:r>
      <w:r w:rsid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</w:t>
      </w:r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persportową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przystępnej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cenie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</w:p>
    <w:bookmarkEnd w:id="0"/>
    <w:p w14:paraId="4727F68E" w14:textId="16840ED7" w:rsidR="005E3F44" w:rsidRDefault="00196D9E" w:rsidP="00465202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Powiększona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gama</w:t>
      </w:r>
      <w:proofErr w:type="spellEnd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rozmiar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ów</w:t>
      </w:r>
      <w:proofErr w:type="spellEnd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95F39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Qualifier</w:t>
      </w:r>
      <w:proofErr w:type="spellEnd"/>
      <w:r w:rsidR="00195F39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CORE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jest</w:t>
      </w:r>
      <w:proofErr w:type="spellEnd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już</w:t>
      </w:r>
      <w:proofErr w:type="spellEnd"/>
      <w:r w:rsidR="00195F39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95F39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dostępn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proofErr w:type="spellEnd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rynku</w:t>
      </w:r>
      <w:proofErr w:type="spellEnd"/>
      <w:r w:rsidR="00195F39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a w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niej</w:t>
      </w:r>
      <w:proofErr w:type="spellEnd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:</w:t>
      </w:r>
    </w:p>
    <w:p w14:paraId="3E82A677" w14:textId="486B39B2" w:rsidR="005E3F44" w:rsidRPr="001F70E6" w:rsidRDefault="005E3F44" w:rsidP="001F70E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Na </w:t>
      </w:r>
      <w:proofErr w:type="spellStart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przód</w:t>
      </w:r>
      <w:proofErr w:type="spellEnd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: </w:t>
      </w:r>
      <w:proofErr w:type="spellStart"/>
      <w:r w:rsidRPr="001F70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nowy</w:t>
      </w:r>
      <w:proofErr w:type="spellEnd"/>
      <w:r w:rsidRPr="001F70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1F70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rozmiar</w:t>
      </w:r>
      <w:proofErr w:type="spellEnd"/>
      <w:r w:rsidRPr="001F70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r w:rsidR="00195F39" w:rsidRPr="001F70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120/60ZR</w:t>
      </w:r>
      <w:r w:rsidR="00195F39" w:rsidRPr="006C38BF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17</w:t>
      </w:r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; </w:t>
      </w:r>
      <w:proofErr w:type="spellStart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rozmiar</w:t>
      </w:r>
      <w:proofErr w:type="spellEnd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dostępny</w:t>
      </w:r>
      <w:proofErr w:type="spellEnd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wcześniej</w:t>
      </w:r>
      <w:proofErr w:type="spellEnd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120/70ZR17</w:t>
      </w:r>
      <w:r w:rsidR="006036C3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;</w:t>
      </w:r>
    </w:p>
    <w:p w14:paraId="32EF821A" w14:textId="1318E2C2" w:rsidR="00195F39" w:rsidRPr="001F70E6" w:rsidRDefault="005E3F44" w:rsidP="001F70E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Na </w:t>
      </w:r>
      <w:proofErr w:type="spellStart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tył</w:t>
      </w:r>
      <w:proofErr w:type="spellEnd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: </w:t>
      </w:r>
      <w:proofErr w:type="spellStart"/>
      <w:r w:rsidRPr="001F70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nowe</w:t>
      </w:r>
      <w:proofErr w:type="spellEnd"/>
      <w:r w:rsidRPr="001F70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1F70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rozmiary</w:t>
      </w:r>
      <w:proofErr w:type="spellEnd"/>
      <w:r w:rsidRPr="001F70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r w:rsidR="00195F39" w:rsidRPr="001F70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190/50ZR17, 190/55ZR17 i 200/50ZR</w:t>
      </w:r>
      <w:r w:rsidR="00195F39" w:rsidRPr="006C38BF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17</w:t>
      </w:r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; </w:t>
      </w:r>
      <w:proofErr w:type="spellStart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rozmiary</w:t>
      </w:r>
      <w:proofErr w:type="spellEnd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dostępne</w:t>
      </w:r>
      <w:proofErr w:type="spellEnd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wcześniej</w:t>
      </w:r>
      <w:proofErr w:type="spellEnd"/>
      <w:r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195F39" w:rsidRPr="001F70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160/60ZR17 i 180/55ZR17.</w:t>
      </w:r>
    </w:p>
    <w:p w14:paraId="2A076458" w14:textId="1F6BB7B3" w:rsidR="00195F39" w:rsidRDefault="00195F39" w:rsidP="00195F39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„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Rozszerzenie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gamy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o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now</w:t>
      </w:r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rozmiar</w:t>
      </w:r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sprawia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że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Qualifier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CORE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nadaje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do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szerokiej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gamy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motocykli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sportowych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typu</w:t>
      </w:r>
      <w:proofErr w:type="spellEnd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naked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a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także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do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roadsterów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motocykli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sportowo-turystycznych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Dodatkowo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dzi</w:t>
      </w:r>
      <w:r w:rsidR="00FA6EA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ę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ki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5E3F4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atrakcyjnej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cen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jest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idealny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wybór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dla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motocyklistów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jeżd</w:t>
      </w:r>
      <w:r w:rsidR="00FA6EA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ż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ących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okazjonaln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oraz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którzy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posiadają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poprzednich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generacji</w:t>
      </w:r>
      <w:proofErr w:type="spellEnd"/>
      <w:r w:rsidR="00D3100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</w:t>
      </w:r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”</w:t>
      </w:r>
      <w:r w:rsidRPr="00C428D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powiedział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Dmitri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Talboom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Product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Manager Dunlop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Motorcycle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Europ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</w:t>
      </w:r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</w:p>
    <w:p w14:paraId="45272B04" w14:textId="13885928" w:rsidR="00465202" w:rsidRPr="00465202" w:rsidRDefault="005E3F44" w:rsidP="00465202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Qualifier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CORE</w:t>
      </w:r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została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wprowadzona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rynek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początku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2022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oku</w:t>
      </w:r>
      <w:proofErr w:type="spellEnd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jest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jmłodszym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człon</w:t>
      </w:r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kiem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znanej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rodziny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h</w:t>
      </w:r>
      <w:r w:rsid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</w:t>
      </w:r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persportowych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Qualifier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Opony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</w:t>
      </w:r>
      <w:proofErr w:type="spellEnd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są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wyposażone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 w:rsid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najnowocześniejsze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technologie</w:t>
      </w:r>
      <w:proofErr w:type="spellEnd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</w:t>
      </w:r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plasują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klasie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średniej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poniżej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modeli</w:t>
      </w:r>
      <w:proofErr w:type="spellEnd"/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SportSmart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TT i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SportSmart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Mk3</w:t>
      </w:r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  <w:r w:rsidR="00FA6EA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</w:t>
      </w:r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ferują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doskonałą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wartość</w:t>
      </w:r>
      <w:proofErr w:type="spellEnd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95F39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użytkownikom</w:t>
      </w:r>
      <w:proofErr w:type="spellEnd"/>
      <w:r w:rsidR="001C3F3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którzy</w:t>
      </w:r>
      <w:proofErr w:type="spellEnd"/>
      <w:r w:rsidR="001C3F3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C3F3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jeżdżą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</w:t>
      </w:r>
      <w:r w:rsidR="001C3F3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ami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poprzedniej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generacji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lub</w:t>
      </w:r>
      <w:proofErr w:type="spellEnd"/>
      <w:r w:rsidR="00195F3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C3F3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tylko</w:t>
      </w:r>
      <w:proofErr w:type="spellEnd"/>
      <w:r w:rsidR="00465202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C979B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okazjonalnie</w:t>
      </w:r>
      <w:proofErr w:type="spellEnd"/>
      <w:r w:rsidR="00C979B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</w:p>
    <w:p w14:paraId="10EE0794" w14:textId="12CFA3D0" w:rsidR="00465202" w:rsidRDefault="00465202" w:rsidP="00465202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porównaniu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poprzednim</w:t>
      </w:r>
      <w:proofErr w:type="spellEnd"/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modelem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Qualifier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II, </w:t>
      </w:r>
      <w:proofErr w:type="spellStart"/>
      <w:r w:rsidR="00B209BA" w:rsidRP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Qualifier</w:t>
      </w:r>
      <w:proofErr w:type="spellEnd"/>
      <w:r w:rsidR="00B209BA" w:rsidRP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CORE </w:t>
      </w:r>
      <w:proofErr w:type="spellStart"/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wyróżnia</w:t>
      </w:r>
      <w:proofErr w:type="spellEnd"/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poprawio</w:t>
      </w:r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ną</w:t>
      </w:r>
      <w:proofErr w:type="spellEnd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przyczepnoś</w:t>
      </w:r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cią</w:t>
      </w:r>
      <w:proofErr w:type="spellEnd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mokrej</w:t>
      </w:r>
      <w:proofErr w:type="spellEnd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nawierzchni</w:t>
      </w:r>
      <w:proofErr w:type="spellEnd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oraz</w:t>
      </w:r>
      <w:proofErr w:type="spellEnd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73D8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pewnym</w:t>
      </w:r>
      <w:proofErr w:type="spellEnd"/>
      <w:r w:rsidR="00173D8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prowadzenie</w:t>
      </w:r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</w:t>
      </w:r>
      <w:proofErr w:type="spellEnd"/>
      <w:r w:rsidR="00C428D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a </w:t>
      </w:r>
      <w:proofErr w:type="spellStart"/>
      <w:r w:rsidR="00C428D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</w:t>
      </w:r>
      <w:proofErr w:type="spellEnd"/>
      <w:r w:rsidR="00B209BA"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dzięki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mieszance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wzbogaconej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krzemionką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Najnowsze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technologie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takie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jak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Dynamic Front Formula,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Carcass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Tension Control System i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Jointless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Belt,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zapewniają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doskonałe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173D8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osiągi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</w:t>
      </w:r>
      <w:r w:rsidR="00C428D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stabilność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wzmacniając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h</w:t>
      </w:r>
      <w:r w:rsidR="00B209B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</w:t>
      </w:r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persportowe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właściwości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opony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Qualifier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CORE.</w:t>
      </w:r>
    </w:p>
    <w:p w14:paraId="2514A24E" w14:textId="6D7E33C3" w:rsidR="00195F39" w:rsidRPr="00465202" w:rsidRDefault="00195F39" w:rsidP="00195F39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Podobnie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jak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wysokiej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klasy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opony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SportSmart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TT i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SportSmart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Mk3,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Qualifier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CORE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czerpie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bogatego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doświadczenia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i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sukcesów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Dunlopa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poziomie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mistrzostw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świata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oraz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takich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imprezach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jak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Isle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Man TT,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gdzie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</w:t>
      </w:r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szyscy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zwycięzcy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tegorocznej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edycji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wyścigu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indywidualnego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wybrali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opony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5A585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marki</w:t>
      </w:r>
      <w:proofErr w:type="spellEnd"/>
      <w:r w:rsidR="005A585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</w:t>
      </w:r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</w:p>
    <w:p w14:paraId="16A5801A" w14:textId="42CF6F46" w:rsidR="00465202" w:rsidRPr="00465202" w:rsidRDefault="00465202" w:rsidP="00465202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rezultacie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powstała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skierowana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do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użytkowników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podstawowych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średnich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motocykli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typu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naked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</w:t>
      </w:r>
      <w:r w:rsidR="00C428D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aszyn</w:t>
      </w:r>
      <w:proofErr w:type="spellEnd"/>
      <w:r w:rsidR="00C428D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sportowych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poprzedniej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generacji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średniej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wielkości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roadsterów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oraz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szerokiej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gamy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motocykli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sportowo-turystycznych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Wśród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jest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wiele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lastRenderedPageBreak/>
        <w:t>najlepiej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sprzedających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</w:t>
      </w:r>
      <w:r w:rsidR="00C428D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aszyn</w:t>
      </w:r>
      <w:proofErr w:type="spellEnd"/>
      <w:r w:rsidR="00C428D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Europie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takich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jak</w:t>
      </w:r>
      <w:proofErr w:type="spellEnd"/>
      <w:r w:rsidRPr="0046520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Yamaha MT-07 i MT-09, Kawasaki Z650 i Z900, Suzuki GSX-S 750 i BMW F 900 R.</w:t>
      </w:r>
    </w:p>
    <w:p w14:paraId="3A4BE8CA" w14:textId="4B4D1C02" w:rsidR="001A7770" w:rsidRDefault="00924855" w:rsidP="00465202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Dunlop Europe jest jednym z wiodących światowych producentów opon z imponującymi osiągnięciami w sportach motorowych. Dunlop Europe jest partnerem technicznym </w:t>
      </w:r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zwycięskich zespołów w wyścigach Mistrzostw Świata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Endurance</w:t>
      </w:r>
      <w:proofErr w:type="spellEnd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, oficjalnym dostawcą opon do Mistrzostw Świata FIM Moto2 i Moto3 oraz najbardziej utytułowaną marką opon w historii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Isle</w:t>
      </w:r>
      <w:proofErr w:type="spellEnd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of Man TT. W rajdach terenowych Dunlop jest wybierany przez zwycięzców i mistrzów wyścigów MXGP i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Supercross</w:t>
      </w:r>
      <w:proofErr w:type="spellEnd"/>
      <w:r w:rsid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. </w:t>
      </w:r>
    </w:p>
    <w:p w14:paraId="030254DB" w14:textId="7F2D9018" w:rsidR="00755E59" w:rsidRPr="00465202" w:rsidRDefault="0050331B" w:rsidP="00465202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t>Więcej informacji udziela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5021A1E2" w14:textId="38090AEF" w:rsidR="0050331B" w:rsidRPr="00924855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924855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1F70E6" w:rsidRDefault="0050331B" w:rsidP="00046D6C">
      <w:pPr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1F70E6">
        <w:rPr>
          <w:rFonts w:ascii="Arial" w:hAnsi="Arial" w:cs="Arial"/>
          <w:sz w:val="22"/>
          <w:szCs w:val="22"/>
          <w:lang w:val="en-US" w:eastAsia="ja-JP"/>
        </w:rPr>
        <w:t xml:space="preserve">Biuro Prasowe Goodyear </w:t>
      </w:r>
    </w:p>
    <w:p w14:paraId="47E56FBB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Alert Media Communications </w:t>
      </w:r>
    </w:p>
    <w:p w14:paraId="47FC3625" w14:textId="514E50C3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>tel.: 506 051 987</w:t>
      </w:r>
    </w:p>
    <w:p w14:paraId="2E6F356A" w14:textId="33EA0E10" w:rsidR="00583826" w:rsidRPr="00561560" w:rsidRDefault="00046D6C" w:rsidP="00046D6C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e-mail: </w:t>
      </w:r>
      <w:hyperlink r:id="rId8" w:history="1">
        <w:r w:rsidR="006D30DF" w:rsidRPr="00561560">
          <w:rPr>
            <w:rStyle w:val="Hipercze"/>
            <w:rFonts w:ascii="Arial" w:hAnsi="Arial" w:cs="Arial"/>
            <w:sz w:val="22"/>
            <w:szCs w:val="22"/>
            <w:lang w:val="en-GB" w:eastAsia="ja-JP"/>
          </w:rPr>
          <w:t>goodyear@alertmedia.pl</w:t>
        </w:r>
      </w:hyperlink>
      <w:r w:rsidR="006D30DF"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</w:p>
    <w:p w14:paraId="7B610297" w14:textId="77777777" w:rsidR="00CC172D" w:rsidRPr="00561560" w:rsidRDefault="00CC172D" w:rsidP="003972D1">
      <w:pPr>
        <w:spacing w:line="360" w:lineRule="auto"/>
        <w:rPr>
          <w:rFonts w:ascii="Arial" w:hAnsi="Arial" w:cs="Arial"/>
          <w:sz w:val="22"/>
          <w:szCs w:val="20"/>
          <w:lang w:val="en-GB" w:eastAsia="ja-JP"/>
        </w:rPr>
      </w:pPr>
    </w:p>
    <w:sectPr w:rsidR="00CC172D" w:rsidRPr="00561560" w:rsidSect="00114E02">
      <w:headerReference w:type="default" r:id="rId9"/>
      <w:footerReference w:type="default" r:id="rId10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63FA" w14:textId="77777777" w:rsidR="00855262" w:rsidRDefault="00855262" w:rsidP="0068646D">
      <w:r>
        <w:separator/>
      </w:r>
    </w:p>
  </w:endnote>
  <w:endnote w:type="continuationSeparator" w:id="0">
    <w:p w14:paraId="6D38FD84" w14:textId="77777777" w:rsidR="00855262" w:rsidRDefault="00855262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0279" w14:textId="77777777" w:rsidR="00855262" w:rsidRDefault="00855262" w:rsidP="0068646D">
      <w:r>
        <w:separator/>
      </w:r>
    </w:p>
  </w:footnote>
  <w:footnote w:type="continuationSeparator" w:id="0">
    <w:p w14:paraId="1A8FD1D9" w14:textId="77777777" w:rsidR="00855262" w:rsidRDefault="00855262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55F3200B"/>
    <w:multiLevelType w:val="hybridMultilevel"/>
    <w:tmpl w:val="94E2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E03DA"/>
    <w:multiLevelType w:val="hybridMultilevel"/>
    <w:tmpl w:val="FC1A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68837">
    <w:abstractNumId w:val="11"/>
  </w:num>
  <w:num w:numId="2" w16cid:durableId="1340884829">
    <w:abstractNumId w:val="1"/>
  </w:num>
  <w:num w:numId="3" w16cid:durableId="1939950384">
    <w:abstractNumId w:val="0"/>
  </w:num>
  <w:num w:numId="4" w16cid:durableId="1770857873">
    <w:abstractNumId w:val="3"/>
  </w:num>
  <w:num w:numId="5" w16cid:durableId="708410351">
    <w:abstractNumId w:val="5"/>
  </w:num>
  <w:num w:numId="6" w16cid:durableId="2020504302">
    <w:abstractNumId w:val="12"/>
  </w:num>
  <w:num w:numId="7" w16cid:durableId="869032139">
    <w:abstractNumId w:val="4"/>
  </w:num>
  <w:num w:numId="8" w16cid:durableId="1232348728">
    <w:abstractNumId w:val="8"/>
  </w:num>
  <w:num w:numId="9" w16cid:durableId="1132479330">
    <w:abstractNumId w:val="9"/>
  </w:num>
  <w:num w:numId="10" w16cid:durableId="476267233">
    <w:abstractNumId w:val="7"/>
  </w:num>
  <w:num w:numId="11" w16cid:durableId="1906521951">
    <w:abstractNumId w:val="6"/>
  </w:num>
  <w:num w:numId="12" w16cid:durableId="976834344">
    <w:abstractNumId w:val="2"/>
  </w:num>
  <w:num w:numId="13" w16cid:durableId="2024933998">
    <w:abstractNumId w:val="10"/>
  </w:num>
  <w:num w:numId="14" w16cid:durableId="5781728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2880"/>
    <w:rsid w:val="000054FE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54736"/>
    <w:rsid w:val="0006060E"/>
    <w:rsid w:val="000608D1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3646"/>
    <w:rsid w:val="000857A6"/>
    <w:rsid w:val="00090D91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1806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5302F"/>
    <w:rsid w:val="001606C4"/>
    <w:rsid w:val="00163745"/>
    <w:rsid w:val="00163A77"/>
    <w:rsid w:val="0016689C"/>
    <w:rsid w:val="00166D4F"/>
    <w:rsid w:val="00167B1C"/>
    <w:rsid w:val="00172D10"/>
    <w:rsid w:val="00173D8A"/>
    <w:rsid w:val="001742AA"/>
    <w:rsid w:val="00182866"/>
    <w:rsid w:val="00184892"/>
    <w:rsid w:val="0018601A"/>
    <w:rsid w:val="0019384D"/>
    <w:rsid w:val="0019395D"/>
    <w:rsid w:val="00195F39"/>
    <w:rsid w:val="00195FE8"/>
    <w:rsid w:val="00196D9E"/>
    <w:rsid w:val="001A1B6F"/>
    <w:rsid w:val="001A7770"/>
    <w:rsid w:val="001B383E"/>
    <w:rsid w:val="001B4A24"/>
    <w:rsid w:val="001B5F8D"/>
    <w:rsid w:val="001C3F31"/>
    <w:rsid w:val="001C503D"/>
    <w:rsid w:val="001C6719"/>
    <w:rsid w:val="001C7B28"/>
    <w:rsid w:val="001D5C31"/>
    <w:rsid w:val="001D60C9"/>
    <w:rsid w:val="001E4C71"/>
    <w:rsid w:val="001E5CE2"/>
    <w:rsid w:val="001E73F5"/>
    <w:rsid w:val="001F28ED"/>
    <w:rsid w:val="001F4260"/>
    <w:rsid w:val="001F70E6"/>
    <w:rsid w:val="00203C95"/>
    <w:rsid w:val="00204F0C"/>
    <w:rsid w:val="002075D2"/>
    <w:rsid w:val="00207CA8"/>
    <w:rsid w:val="00210B19"/>
    <w:rsid w:val="0021125A"/>
    <w:rsid w:val="00211B32"/>
    <w:rsid w:val="00212A2A"/>
    <w:rsid w:val="00217010"/>
    <w:rsid w:val="00221558"/>
    <w:rsid w:val="00222BA7"/>
    <w:rsid w:val="002237A6"/>
    <w:rsid w:val="002279AC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5159"/>
    <w:rsid w:val="003377D0"/>
    <w:rsid w:val="00337A6B"/>
    <w:rsid w:val="00341528"/>
    <w:rsid w:val="003434EE"/>
    <w:rsid w:val="00344F6D"/>
    <w:rsid w:val="0034515F"/>
    <w:rsid w:val="00353364"/>
    <w:rsid w:val="00355ACB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E46E9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522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65202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A7BA8"/>
    <w:rsid w:val="004B2582"/>
    <w:rsid w:val="004B5401"/>
    <w:rsid w:val="004B5C61"/>
    <w:rsid w:val="004B6A8D"/>
    <w:rsid w:val="004B6C1B"/>
    <w:rsid w:val="004B6ECB"/>
    <w:rsid w:val="004B772D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18AE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A585C"/>
    <w:rsid w:val="005B2B7E"/>
    <w:rsid w:val="005B30EA"/>
    <w:rsid w:val="005B478C"/>
    <w:rsid w:val="005C2A4B"/>
    <w:rsid w:val="005C5AAA"/>
    <w:rsid w:val="005D034B"/>
    <w:rsid w:val="005E359B"/>
    <w:rsid w:val="005E3F44"/>
    <w:rsid w:val="005E4E0D"/>
    <w:rsid w:val="005F38C2"/>
    <w:rsid w:val="005F7924"/>
    <w:rsid w:val="0060141E"/>
    <w:rsid w:val="0060264B"/>
    <w:rsid w:val="006036C3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32D5"/>
    <w:rsid w:val="006A51E9"/>
    <w:rsid w:val="006B10FF"/>
    <w:rsid w:val="006B5885"/>
    <w:rsid w:val="006C092F"/>
    <w:rsid w:val="006C1016"/>
    <w:rsid w:val="006C38BF"/>
    <w:rsid w:val="006C7ED5"/>
    <w:rsid w:val="006D23E7"/>
    <w:rsid w:val="006D30DF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2E4B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7CBA"/>
    <w:rsid w:val="007F0C18"/>
    <w:rsid w:val="007F5CFD"/>
    <w:rsid w:val="007F74D8"/>
    <w:rsid w:val="007F77B6"/>
    <w:rsid w:val="008014A8"/>
    <w:rsid w:val="0080175B"/>
    <w:rsid w:val="00801775"/>
    <w:rsid w:val="00802A9A"/>
    <w:rsid w:val="008030FE"/>
    <w:rsid w:val="00811938"/>
    <w:rsid w:val="00812C0B"/>
    <w:rsid w:val="00812FA5"/>
    <w:rsid w:val="008148F7"/>
    <w:rsid w:val="008170EC"/>
    <w:rsid w:val="00822FD7"/>
    <w:rsid w:val="00823F1A"/>
    <w:rsid w:val="0082781A"/>
    <w:rsid w:val="00831BA9"/>
    <w:rsid w:val="008349F3"/>
    <w:rsid w:val="008360D7"/>
    <w:rsid w:val="008360DB"/>
    <w:rsid w:val="00843364"/>
    <w:rsid w:val="00844259"/>
    <w:rsid w:val="00846B7D"/>
    <w:rsid w:val="00852D99"/>
    <w:rsid w:val="00855262"/>
    <w:rsid w:val="008601AE"/>
    <w:rsid w:val="008676C9"/>
    <w:rsid w:val="008728FB"/>
    <w:rsid w:val="008746AA"/>
    <w:rsid w:val="00877B36"/>
    <w:rsid w:val="00880BA6"/>
    <w:rsid w:val="00883B61"/>
    <w:rsid w:val="00885BF5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6B69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071FF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672DC"/>
    <w:rsid w:val="009741CC"/>
    <w:rsid w:val="00984080"/>
    <w:rsid w:val="009844E8"/>
    <w:rsid w:val="0098622D"/>
    <w:rsid w:val="0098757F"/>
    <w:rsid w:val="00993F7A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4216F"/>
    <w:rsid w:val="00A4347D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086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94D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0EB"/>
    <w:rsid w:val="00B12364"/>
    <w:rsid w:val="00B1460B"/>
    <w:rsid w:val="00B161DB"/>
    <w:rsid w:val="00B1796C"/>
    <w:rsid w:val="00B20339"/>
    <w:rsid w:val="00B209BA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5D9A"/>
    <w:rsid w:val="00C16D94"/>
    <w:rsid w:val="00C179DC"/>
    <w:rsid w:val="00C25D2D"/>
    <w:rsid w:val="00C30729"/>
    <w:rsid w:val="00C33D6A"/>
    <w:rsid w:val="00C34249"/>
    <w:rsid w:val="00C35269"/>
    <w:rsid w:val="00C3583A"/>
    <w:rsid w:val="00C37C79"/>
    <w:rsid w:val="00C41ABF"/>
    <w:rsid w:val="00C428D4"/>
    <w:rsid w:val="00C4428A"/>
    <w:rsid w:val="00C4495A"/>
    <w:rsid w:val="00C46AE5"/>
    <w:rsid w:val="00C542B6"/>
    <w:rsid w:val="00C57769"/>
    <w:rsid w:val="00C66503"/>
    <w:rsid w:val="00C67F77"/>
    <w:rsid w:val="00C714BB"/>
    <w:rsid w:val="00C7524E"/>
    <w:rsid w:val="00C757D7"/>
    <w:rsid w:val="00C82E6E"/>
    <w:rsid w:val="00C86963"/>
    <w:rsid w:val="00C878D8"/>
    <w:rsid w:val="00C9003B"/>
    <w:rsid w:val="00C90D94"/>
    <w:rsid w:val="00C979B1"/>
    <w:rsid w:val="00CA2CD4"/>
    <w:rsid w:val="00CA5F84"/>
    <w:rsid w:val="00CA7256"/>
    <w:rsid w:val="00CB0A7C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004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D0B98"/>
    <w:rsid w:val="00DD1565"/>
    <w:rsid w:val="00DD2603"/>
    <w:rsid w:val="00DD2AD7"/>
    <w:rsid w:val="00DD6C59"/>
    <w:rsid w:val="00DD7704"/>
    <w:rsid w:val="00DE5982"/>
    <w:rsid w:val="00DE67BB"/>
    <w:rsid w:val="00DF0D2E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5DBC"/>
    <w:rsid w:val="00E67452"/>
    <w:rsid w:val="00E67962"/>
    <w:rsid w:val="00E7005F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F00CF5"/>
    <w:rsid w:val="00F02598"/>
    <w:rsid w:val="00F0592C"/>
    <w:rsid w:val="00F05D09"/>
    <w:rsid w:val="00F10900"/>
    <w:rsid w:val="00F1238E"/>
    <w:rsid w:val="00F125BB"/>
    <w:rsid w:val="00F14738"/>
    <w:rsid w:val="00F16A15"/>
    <w:rsid w:val="00F23E75"/>
    <w:rsid w:val="00F24D32"/>
    <w:rsid w:val="00F258D6"/>
    <w:rsid w:val="00F259BA"/>
    <w:rsid w:val="00F31C33"/>
    <w:rsid w:val="00F40194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6EAB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1</TotalTime>
  <Pages>2</Pages>
  <Words>447</Words>
  <Characters>2966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Tritt</dc:creator>
  <cp:lastModifiedBy>Marlena Garucka</cp:lastModifiedBy>
  <cp:revision>2</cp:revision>
  <cp:lastPrinted>2019-12-11T13:20:00Z</cp:lastPrinted>
  <dcterms:created xsi:type="dcterms:W3CDTF">2022-09-13T08:22:00Z</dcterms:created>
  <dcterms:modified xsi:type="dcterms:W3CDTF">2022-09-13T08:22:00Z</dcterms:modified>
</cp:coreProperties>
</file>